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4E2" w:rsidRDefault="004A11A0">
      <w:pPr>
        <w:pBdr>
          <w:top w:val="nil"/>
          <w:left w:val="nil"/>
          <w:bottom w:val="nil"/>
          <w:right w:val="nil"/>
          <w:between w:val="nil"/>
        </w:pBdr>
        <w:tabs>
          <w:tab w:val="right" w:pos="9639"/>
        </w:tabs>
        <w:spacing w:after="0"/>
        <w:rPr>
          <w:rFonts w:ascii="Arial" w:eastAsia="Arial" w:hAnsi="Arial" w:cs="Arial"/>
          <w:color w:val="000000"/>
          <w:sz w:val="28"/>
          <w:szCs w:val="28"/>
        </w:rPr>
      </w:pPr>
      <w:r>
        <w:rPr>
          <w:rFonts w:ascii="Arial" w:eastAsia="Arial" w:hAnsi="Arial" w:cs="Arial"/>
          <w:b/>
          <w:color w:val="000000"/>
          <w:sz w:val="24"/>
          <w:szCs w:val="24"/>
        </w:rPr>
        <w:t>3GPP TSG-SA</w:t>
      </w:r>
      <w:r>
        <w:rPr>
          <w:rFonts w:ascii="Arial" w:eastAsia="Arial" w:hAnsi="Arial" w:cs="Arial"/>
          <w:b/>
          <w:sz w:val="24"/>
          <w:szCs w:val="24"/>
        </w:rPr>
        <w:t>3</w:t>
      </w:r>
      <w:r>
        <w:rPr>
          <w:rFonts w:ascii="Arial" w:eastAsia="Arial" w:hAnsi="Arial" w:cs="Arial"/>
          <w:b/>
          <w:color w:val="000000"/>
          <w:sz w:val="24"/>
          <w:szCs w:val="24"/>
        </w:rPr>
        <w:t xml:space="preserve"> Meeting #12</w:t>
      </w:r>
      <w:r>
        <w:rPr>
          <w:rFonts w:ascii="Arial" w:eastAsia="Arial" w:hAnsi="Arial" w:cs="Arial"/>
          <w:b/>
          <w:sz w:val="24"/>
          <w:szCs w:val="24"/>
        </w:rPr>
        <w:t>7</w:t>
      </w:r>
      <w:r>
        <w:rPr>
          <w:rFonts w:ascii="Arial" w:eastAsia="Arial" w:hAnsi="Arial" w:cs="Arial"/>
          <w:b/>
          <w:i/>
          <w:color w:val="000000"/>
          <w:sz w:val="24"/>
          <w:szCs w:val="24"/>
        </w:rPr>
        <w:t xml:space="preserve"> </w:t>
      </w:r>
      <w:r>
        <w:rPr>
          <w:rFonts w:ascii="Arial" w:eastAsia="Arial" w:hAnsi="Arial" w:cs="Arial"/>
          <w:b/>
          <w:i/>
          <w:color w:val="000000"/>
          <w:sz w:val="28"/>
          <w:szCs w:val="28"/>
        </w:rPr>
        <w:tab/>
        <w:t>S</w:t>
      </w:r>
      <w:r>
        <w:rPr>
          <w:rFonts w:ascii="Arial" w:eastAsia="Arial" w:hAnsi="Arial" w:cs="Arial"/>
          <w:b/>
          <w:i/>
          <w:sz w:val="28"/>
          <w:szCs w:val="28"/>
        </w:rPr>
        <w:t>3</w:t>
      </w:r>
      <w:r>
        <w:rPr>
          <w:rFonts w:ascii="Arial" w:eastAsia="Arial" w:hAnsi="Arial" w:cs="Arial"/>
          <w:b/>
          <w:i/>
          <w:color w:val="000000"/>
          <w:sz w:val="28"/>
          <w:szCs w:val="28"/>
        </w:rPr>
        <w:t>-</w:t>
      </w:r>
      <w:r>
        <w:rPr>
          <w:rFonts w:ascii="Arial" w:eastAsia="Arial" w:hAnsi="Arial" w:cs="Arial"/>
          <w:b/>
          <w:i/>
          <w:sz w:val="28"/>
          <w:szCs w:val="28"/>
        </w:rPr>
        <w:t>24</w:t>
      </w:r>
      <w:r>
        <w:rPr>
          <w:rFonts w:ascii="Arial" w:eastAsia="Arial" w:hAnsi="Arial" w:cs="Arial"/>
          <w:b/>
          <w:i/>
          <w:color w:val="000000"/>
          <w:sz w:val="28"/>
          <w:szCs w:val="28"/>
        </w:rPr>
        <w:t>xxxx</w:t>
      </w:r>
    </w:p>
    <w:p w:rsidR="004B34E2" w:rsidRDefault="004A11A0">
      <w:pPr>
        <w:pBdr>
          <w:top w:val="nil"/>
          <w:left w:val="nil"/>
          <w:bottom w:val="nil"/>
          <w:right w:val="nil"/>
          <w:between w:val="nil"/>
        </w:pBdr>
        <w:spacing w:after="120"/>
      </w:pPr>
      <w:r>
        <w:rPr>
          <w:rFonts w:ascii="Arial" w:eastAsia="Arial" w:hAnsi="Arial" w:cs="Arial"/>
          <w:b/>
          <w:sz w:val="24"/>
          <w:szCs w:val="24"/>
        </w:rPr>
        <w:t>Maastricht</w:t>
      </w:r>
      <w:r>
        <w:rPr>
          <w:rFonts w:ascii="Arial" w:eastAsia="Arial" w:hAnsi="Arial" w:cs="Arial"/>
          <w:b/>
          <w:color w:val="000000"/>
          <w:sz w:val="24"/>
          <w:szCs w:val="24"/>
        </w:rPr>
        <w:t>, Netherlan</w:t>
      </w:r>
      <w:r>
        <w:rPr>
          <w:rFonts w:ascii="Arial" w:eastAsia="Arial" w:hAnsi="Arial" w:cs="Arial"/>
          <w:b/>
          <w:sz w:val="24"/>
          <w:szCs w:val="24"/>
        </w:rPr>
        <w:t>ds,</w:t>
      </w:r>
      <w:r>
        <w:rPr>
          <w:rFonts w:ascii="Arial" w:eastAsia="Arial" w:hAnsi="Arial" w:cs="Arial"/>
          <w:b/>
          <w:color w:val="000000"/>
          <w:sz w:val="24"/>
          <w:szCs w:val="24"/>
        </w:rPr>
        <w:t xml:space="preserve"> 19 </w:t>
      </w:r>
      <w:r>
        <w:rPr>
          <w:rFonts w:ascii="Arial" w:eastAsia="Arial" w:hAnsi="Arial" w:cs="Arial"/>
          <w:b/>
          <w:sz w:val="24"/>
          <w:szCs w:val="24"/>
        </w:rPr>
        <w:t>August</w:t>
      </w:r>
      <w:r>
        <w:rPr>
          <w:rFonts w:ascii="Arial" w:eastAsia="Arial" w:hAnsi="Arial" w:cs="Arial"/>
          <w:b/>
          <w:color w:val="000000"/>
          <w:sz w:val="24"/>
          <w:szCs w:val="24"/>
        </w:rPr>
        <w:t xml:space="preserve"> -</w:t>
      </w:r>
      <w:r>
        <w:rPr>
          <w:rFonts w:ascii="Arial" w:eastAsia="Arial" w:hAnsi="Arial" w:cs="Arial"/>
          <w:b/>
          <w:sz w:val="24"/>
          <w:szCs w:val="24"/>
        </w:rPr>
        <w:t>23 August</w:t>
      </w:r>
      <w:r>
        <w:rPr>
          <w:rFonts w:ascii="Arial" w:eastAsia="Arial" w:hAnsi="Arial" w:cs="Arial"/>
          <w:b/>
          <w:color w:val="000000"/>
          <w:sz w:val="24"/>
          <w:szCs w:val="24"/>
        </w:rPr>
        <w:t xml:space="preserve"> 20</w:t>
      </w:r>
      <w:r>
        <w:rPr>
          <w:rFonts w:ascii="Arial" w:eastAsia="Arial" w:hAnsi="Arial" w:cs="Arial"/>
          <w:b/>
          <w:sz w:val="24"/>
          <w:szCs w:val="24"/>
        </w:rPr>
        <w:t>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p>
    <w:p w:rsidR="004B34E2" w:rsidRDefault="004B34E2">
      <w:pPr>
        <w:pBdr>
          <w:bottom w:val="single" w:sz="4" w:space="1" w:color="000000"/>
        </w:pBdr>
        <w:tabs>
          <w:tab w:val="right" w:pos="9639"/>
        </w:tabs>
        <w:jc w:val="both"/>
        <w:rPr>
          <w:rFonts w:ascii="Arial" w:eastAsia="Arial" w:hAnsi="Arial" w:cs="Arial"/>
          <w:sz w:val="24"/>
          <w:szCs w:val="24"/>
        </w:rPr>
      </w:pPr>
    </w:p>
    <w:p w:rsidR="004B34E2" w:rsidRDefault="004A11A0">
      <w:pPr>
        <w:tabs>
          <w:tab w:val="left" w:pos="2127"/>
        </w:tabs>
        <w:spacing w:after="0"/>
        <w:ind w:left="2126" w:hanging="2126"/>
        <w:jc w:val="both"/>
        <w:rPr>
          <w:rFonts w:ascii="Arial" w:eastAsia="Arial" w:hAnsi="Arial" w:cs="Arial"/>
        </w:rPr>
      </w:pPr>
      <w:r>
        <w:rPr>
          <w:rFonts w:ascii="Arial" w:eastAsia="Arial" w:hAnsi="Arial" w:cs="Arial"/>
          <w:b/>
        </w:rPr>
        <w:t>Source:</w:t>
      </w:r>
      <w:r>
        <w:rPr>
          <w:rFonts w:ascii="Arial" w:eastAsia="Arial" w:hAnsi="Arial" w:cs="Arial"/>
          <w:b/>
        </w:rPr>
        <w:tab/>
        <w:t>Google</w:t>
      </w:r>
    </w:p>
    <w:p w:rsidR="004B34E2" w:rsidRDefault="004A11A0">
      <w:pPr>
        <w:tabs>
          <w:tab w:val="left" w:pos="2127"/>
        </w:tabs>
        <w:spacing w:after="0"/>
        <w:ind w:left="2126" w:hanging="2126"/>
        <w:rPr>
          <w:i/>
        </w:rPr>
      </w:pPr>
      <w:r>
        <w:rPr>
          <w:rFonts w:ascii="Arial" w:eastAsia="Arial" w:hAnsi="Arial" w:cs="Arial"/>
          <w:b/>
        </w:rPr>
        <w:t>Title:</w:t>
      </w:r>
      <w:r>
        <w:rPr>
          <w:rFonts w:ascii="Arial" w:eastAsia="Arial" w:hAnsi="Arial" w:cs="Arial"/>
          <w:b/>
        </w:rPr>
        <w:tab/>
      </w:r>
      <w:r>
        <w:rPr>
          <w:rFonts w:ascii="Arial" w:eastAsia="Arial" w:hAnsi="Arial" w:cs="Arial"/>
          <w:b/>
        </w:rPr>
        <w:t>New mini WID on rejecting insecure security algorithms in NAS SMC procedure</w:t>
      </w:r>
    </w:p>
    <w:p w:rsidR="004B34E2" w:rsidRDefault="004B34E2">
      <w:pPr>
        <w:tabs>
          <w:tab w:val="left" w:pos="2127"/>
        </w:tabs>
        <w:spacing w:after="0"/>
        <w:ind w:left="2126" w:hanging="2126"/>
        <w:jc w:val="both"/>
        <w:rPr>
          <w:rFonts w:ascii="Arial" w:eastAsia="Arial" w:hAnsi="Arial" w:cs="Arial"/>
          <w:b/>
        </w:rPr>
      </w:pPr>
    </w:p>
    <w:p w:rsidR="004B34E2" w:rsidRDefault="004A11A0">
      <w:pPr>
        <w:tabs>
          <w:tab w:val="left" w:pos="2127"/>
        </w:tabs>
        <w:spacing w:after="0"/>
        <w:ind w:left="2126" w:hanging="2126"/>
        <w:jc w:val="both"/>
        <w:rPr>
          <w:rFonts w:ascii="Arial" w:eastAsia="Arial" w:hAnsi="Arial" w:cs="Arial"/>
        </w:rPr>
      </w:pPr>
      <w:r>
        <w:rPr>
          <w:rFonts w:ascii="Arial" w:eastAsia="Arial" w:hAnsi="Arial" w:cs="Arial"/>
          <w:b/>
        </w:rPr>
        <w:t>Document for:</w:t>
      </w:r>
      <w:r>
        <w:rPr>
          <w:rFonts w:ascii="Arial" w:eastAsia="Arial" w:hAnsi="Arial" w:cs="Arial"/>
          <w:b/>
        </w:rPr>
        <w:tab/>
        <w:t>Approval</w:t>
      </w:r>
    </w:p>
    <w:p w:rsidR="004B34E2" w:rsidRDefault="004A11A0">
      <w:pPr>
        <w:pBdr>
          <w:bottom w:val="single" w:sz="4" w:space="1" w:color="000000"/>
        </w:pBdr>
        <w:tabs>
          <w:tab w:val="left" w:pos="2127"/>
        </w:tabs>
        <w:spacing w:after="0"/>
        <w:ind w:left="2126" w:hanging="2126"/>
        <w:jc w:val="both"/>
        <w:rPr>
          <w:rFonts w:ascii="Arial" w:eastAsia="Arial" w:hAnsi="Arial" w:cs="Arial"/>
          <w:b/>
        </w:rPr>
      </w:pPr>
      <w:r>
        <w:rPr>
          <w:rFonts w:ascii="Arial" w:eastAsia="Arial" w:hAnsi="Arial" w:cs="Arial"/>
          <w:b/>
        </w:rPr>
        <w:t>Agenda Item:</w:t>
      </w:r>
      <w:r>
        <w:rPr>
          <w:rFonts w:ascii="Arial" w:eastAsia="Arial" w:hAnsi="Arial" w:cs="Arial"/>
          <w:b/>
        </w:rPr>
        <w:tab/>
      </w:r>
      <w:proofErr w:type="spellStart"/>
      <w:r>
        <w:rPr>
          <w:rFonts w:ascii="Arial" w:eastAsia="Arial" w:hAnsi="Arial" w:cs="Arial"/>
          <w:b/>
        </w:rPr>
        <w:t>x.x</w:t>
      </w:r>
      <w:proofErr w:type="spellEnd"/>
    </w:p>
    <w:p w:rsidR="004B34E2" w:rsidRDefault="004B34E2">
      <w:pPr>
        <w:pBdr>
          <w:bottom w:val="single" w:sz="4" w:space="1" w:color="000000"/>
        </w:pBdr>
        <w:tabs>
          <w:tab w:val="left" w:pos="2127"/>
        </w:tabs>
        <w:spacing w:after="0"/>
        <w:ind w:left="2126" w:hanging="2126"/>
        <w:jc w:val="both"/>
        <w:rPr>
          <w:rFonts w:ascii="Arial" w:eastAsia="Arial" w:hAnsi="Arial" w:cs="Arial"/>
          <w:b/>
        </w:rPr>
      </w:pPr>
    </w:p>
    <w:p w:rsidR="004B34E2" w:rsidRDefault="004A11A0">
      <w:pPr>
        <w:spacing w:before="120"/>
        <w:jc w:val="center"/>
        <w:rPr>
          <w:rFonts w:ascii="Arial" w:eastAsia="Arial" w:hAnsi="Arial" w:cs="Arial"/>
          <w:sz w:val="36"/>
          <w:szCs w:val="36"/>
        </w:rPr>
      </w:pPr>
      <w:r>
        <w:rPr>
          <w:rFonts w:ascii="Arial" w:eastAsia="Arial" w:hAnsi="Arial" w:cs="Arial"/>
          <w:sz w:val="36"/>
          <w:szCs w:val="36"/>
        </w:rPr>
        <w:t>3GPP™ Work Item Description</w:t>
      </w:r>
    </w:p>
    <w:p w:rsidR="004B34E2" w:rsidRDefault="004A11A0">
      <w:pPr>
        <w:jc w:val="center"/>
      </w:pPr>
      <w:bookmarkStart w:id="0" w:name="_gjdgxs" w:colFirst="0" w:colLast="0"/>
      <w:bookmarkEnd w:id="0"/>
      <w:r>
        <w:t xml:space="preserve">Information on Work Items can be found at </w:t>
      </w:r>
      <w:hyperlink r:id="rId5">
        <w:r>
          <w:rPr>
            <w:color w:val="0000FF"/>
            <w:u w:val="single"/>
          </w:rPr>
          <w:t>http://www.3gpp.org/Work-Items</w:t>
        </w:r>
      </w:hyperlink>
      <w:r>
        <w:t xml:space="preserve"> </w:t>
      </w:r>
      <w:r>
        <w:br/>
        <w:t xml:space="preserve">See also the </w:t>
      </w:r>
      <w:hyperlink r:id="rId6">
        <w:r>
          <w:rPr>
            <w:color w:val="0000FF"/>
            <w:u w:val="single"/>
          </w:rPr>
          <w:t>3GPP Workin</w:t>
        </w:r>
        <w:r>
          <w:rPr>
            <w:color w:val="0000FF"/>
            <w:u w:val="single"/>
          </w:rPr>
          <w:t>g Procedures</w:t>
        </w:r>
      </w:hyperlink>
      <w:r>
        <w:t xml:space="preserve">, article 39 and the TSG Working Methods in </w:t>
      </w:r>
      <w:hyperlink r:id="rId7">
        <w:r>
          <w:rPr>
            <w:color w:val="0000FF"/>
            <w:u w:val="single"/>
          </w:rPr>
          <w:t>3GPP TR 21.900</w:t>
        </w:r>
      </w:hyperlink>
    </w:p>
    <w:p w:rsidR="004B34E2" w:rsidRDefault="004A11A0">
      <w:pPr>
        <w:pStyle w:val="Heading1"/>
      </w:pPr>
      <w:r>
        <w:t xml:space="preserve">Title: </w:t>
      </w:r>
      <w:r>
        <w:tab/>
        <w:t>New mini WID on rejecting vulnerable security algorithms including null ciphering algorithms</w:t>
      </w:r>
    </w:p>
    <w:p w:rsidR="004B34E2" w:rsidRDefault="004A11A0">
      <w:pPr>
        <w:pStyle w:val="Heading2"/>
        <w:tabs>
          <w:tab w:val="left" w:pos="2552"/>
        </w:tabs>
      </w:pPr>
      <w:r>
        <w:t xml:space="preserve">Acronym: </w:t>
      </w:r>
      <w:proofErr w:type="spellStart"/>
      <w:r>
        <w:t>Sec_Mo</w:t>
      </w:r>
      <w:r>
        <w:t>de</w:t>
      </w:r>
      <w:proofErr w:type="spellEnd"/>
    </w:p>
    <w:p w:rsidR="004B34E2" w:rsidRDefault="004A11A0">
      <w:pPr>
        <w:pStyle w:val="Heading2"/>
        <w:tabs>
          <w:tab w:val="left" w:pos="2552"/>
        </w:tabs>
      </w:pPr>
      <w:r>
        <w:t xml:space="preserve">Unique identifier: </w:t>
      </w:r>
      <w:r>
        <w:tab/>
      </w:r>
      <w:r>
        <w:rPr>
          <w:rFonts w:ascii="Times New Roman" w:eastAsia="Times New Roman" w:hAnsi="Times New Roman" w:cs="Times New Roman"/>
        </w:rPr>
        <w:t>TBD</w:t>
      </w:r>
    </w:p>
    <w:p w:rsidR="004B34E2" w:rsidRDefault="004A11A0">
      <w:pPr>
        <w:ind w:right="-99"/>
      </w:pPr>
      <w:r>
        <w:t xml:space="preserve"> </w:t>
      </w:r>
    </w:p>
    <w:p w:rsidR="004B34E2" w:rsidRDefault="004A11A0">
      <w:pPr>
        <w:pStyle w:val="Heading2"/>
      </w:pPr>
      <w:r>
        <w:t>1</w:t>
      </w:r>
      <w:r>
        <w:tab/>
        <w:t xml:space="preserve">Impacts </w:t>
      </w:r>
      <w:r>
        <w:tab/>
      </w:r>
    </w:p>
    <w:tbl>
      <w:tblPr>
        <w:tblStyle w:val="a"/>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4B34E2">
        <w:trPr>
          <w:jc w:val="center"/>
        </w:trPr>
        <w:tc>
          <w:tcPr>
            <w:tcW w:w="1080" w:type="dxa"/>
            <w:tcBorders>
              <w:bottom w:val="single" w:sz="12" w:space="0" w:color="000000"/>
              <w:right w:val="single" w:sz="12" w:space="0" w:color="000000"/>
            </w:tcBorders>
            <w:shd w:val="clear" w:color="auto" w:fill="E0E0E0"/>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Affects:</w:t>
            </w:r>
          </w:p>
        </w:tc>
        <w:tc>
          <w:tcPr>
            <w:tcW w:w="1127" w:type="dxa"/>
            <w:tcBorders>
              <w:left w:val="nil"/>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48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47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476"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587" w:type="dxa"/>
            <w:tcBorders>
              <w:bottom w:val="single" w:sz="12" w:space="0" w:color="000000"/>
            </w:tcBorders>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4B34E2">
        <w:trPr>
          <w:jc w:val="center"/>
        </w:trPr>
        <w:tc>
          <w:tcPr>
            <w:tcW w:w="1080" w:type="dxa"/>
            <w:tcBorders>
              <w:top w:val="nil"/>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Yes</w:t>
            </w:r>
          </w:p>
        </w:tc>
        <w:tc>
          <w:tcPr>
            <w:tcW w:w="1127" w:type="dxa"/>
            <w:tcBorders>
              <w:top w:val="nil"/>
              <w:left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48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47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X</w:t>
            </w:r>
          </w:p>
        </w:tc>
        <w:tc>
          <w:tcPr>
            <w:tcW w:w="476" w:type="dxa"/>
            <w:tcBorders>
              <w:top w:val="nil"/>
            </w:tcBorders>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Y</w:t>
            </w:r>
          </w:p>
        </w:tc>
        <w:tc>
          <w:tcPr>
            <w:tcW w:w="1587" w:type="dxa"/>
            <w:tcBorders>
              <w:top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4B34E2">
        <w:trPr>
          <w:jc w:val="center"/>
        </w:trPr>
        <w:tc>
          <w:tcPr>
            <w:tcW w:w="1080" w:type="dxa"/>
            <w:tcBorders>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No</w:t>
            </w:r>
          </w:p>
        </w:tc>
        <w:tc>
          <w:tcPr>
            <w:tcW w:w="1127" w:type="dxa"/>
            <w:tcBorders>
              <w:left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8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87"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4B34E2">
        <w:trPr>
          <w:jc w:val="center"/>
        </w:trPr>
        <w:tc>
          <w:tcPr>
            <w:tcW w:w="1080" w:type="dxa"/>
            <w:tcBorders>
              <w:right w:val="single" w:sz="12" w:space="0" w:color="000000"/>
            </w:tcBorders>
          </w:tcPr>
          <w:p w:rsidR="004B34E2" w:rsidRDefault="004A11A0">
            <w:pPr>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b/>
                <w:color w:val="000000"/>
                <w:sz w:val="18"/>
                <w:szCs w:val="18"/>
              </w:rPr>
              <w:t>Don't know</w:t>
            </w:r>
          </w:p>
        </w:tc>
        <w:tc>
          <w:tcPr>
            <w:tcW w:w="1127" w:type="dxa"/>
            <w:tcBorders>
              <w:left w:val="nil"/>
            </w:tcBorders>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8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587" w:type="dxa"/>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r>
    </w:tbl>
    <w:p w:rsidR="004B34E2" w:rsidRDefault="004B34E2">
      <w:pPr>
        <w:ind w:right="-99"/>
      </w:pPr>
    </w:p>
    <w:p w:rsidR="004B34E2" w:rsidRDefault="004A11A0">
      <w:pPr>
        <w:pStyle w:val="Heading2"/>
      </w:pPr>
      <w:r>
        <w:t>2</w:t>
      </w:r>
      <w:r>
        <w:tab/>
        <w:t>Classification of the Work Item and linked work items</w:t>
      </w:r>
    </w:p>
    <w:p w:rsidR="004B34E2" w:rsidRDefault="004A11A0">
      <w:pPr>
        <w:pStyle w:val="Heading3"/>
      </w:pPr>
      <w:r>
        <w:t>2.1</w:t>
      </w:r>
      <w:r>
        <w:tab/>
        <w:t>Primary classification</w:t>
      </w:r>
    </w:p>
    <w:p w:rsidR="004B34E2" w:rsidRDefault="004A11A0">
      <w:pPr>
        <w:pBdr>
          <w:top w:val="nil"/>
          <w:left w:val="nil"/>
          <w:bottom w:val="nil"/>
          <w:right w:val="nil"/>
          <w:between w:val="nil"/>
        </w:pBdr>
        <w:spacing w:before="280" w:after="280"/>
        <w:rPr>
          <w:color w:val="000000"/>
          <w:sz w:val="24"/>
          <w:szCs w:val="24"/>
        </w:rPr>
      </w:pPr>
      <w:r>
        <w:rPr>
          <w:color w:val="000000"/>
          <w:sz w:val="24"/>
          <w:szCs w:val="24"/>
        </w:rPr>
        <w:t>This work item is a:</w:t>
      </w:r>
    </w:p>
    <w:tbl>
      <w:tblPr>
        <w:tblStyle w:val="a0"/>
        <w:tblW w:w="336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B34E2">
        <w:tc>
          <w:tcPr>
            <w:tcW w:w="675" w:type="dxa"/>
            <w:shd w:val="clear" w:color="auto" w:fill="auto"/>
          </w:tcPr>
          <w:p w:rsidR="004B34E2" w:rsidRDefault="004A11A0">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sz w:val="18"/>
                <w:szCs w:val="18"/>
              </w:rPr>
              <w:t>X</w:t>
            </w:r>
          </w:p>
        </w:tc>
        <w:tc>
          <w:tcPr>
            <w:tcW w:w="2694"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4F81BD"/>
                <w:sz w:val="18"/>
                <w:szCs w:val="18"/>
              </w:rPr>
            </w:pPr>
            <w:r>
              <w:rPr>
                <w:rFonts w:ascii="Arial" w:eastAsia="Arial" w:hAnsi="Arial" w:cs="Arial"/>
                <w:b/>
                <w:color w:val="4F81BD"/>
              </w:rPr>
              <w:t>Feature</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Mar>
              <w:left w:w="227" w:type="dxa"/>
            </w:tcMar>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Building Block</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Mar>
              <w:left w:w="397" w:type="dxa"/>
            </w:tcMa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8"/>
                <w:szCs w:val="18"/>
              </w:rPr>
            </w:pPr>
            <w:r>
              <w:rPr>
                <w:rFonts w:ascii="Arial" w:eastAsia="Arial" w:hAnsi="Arial" w:cs="Arial"/>
                <w:i/>
                <w:color w:val="000000"/>
                <w:sz w:val="16"/>
                <w:szCs w:val="16"/>
              </w:rPr>
              <w:t>Work Task</w:t>
            </w:r>
          </w:p>
        </w:tc>
      </w:tr>
      <w:tr w:rsidR="004B34E2">
        <w:tc>
          <w:tcPr>
            <w:tcW w:w="675" w:type="dxa"/>
            <w:shd w:val="clear" w:color="auto" w:fill="auto"/>
          </w:tcPr>
          <w:p w:rsidR="004B34E2" w:rsidRDefault="004B34E2">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694"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4F81BD"/>
              </w:rPr>
              <w:t>Study Item</w:t>
            </w:r>
          </w:p>
        </w:tc>
      </w:tr>
    </w:tbl>
    <w:p w:rsidR="004B34E2" w:rsidRDefault="004B34E2">
      <w:pPr>
        <w:ind w:right="-99"/>
      </w:pPr>
    </w:p>
    <w:p w:rsidR="004B34E2" w:rsidRDefault="004A11A0" w:rsidP="004A11A0">
      <w:pPr>
        <w:pStyle w:val="Heading3"/>
      </w:pPr>
      <w:r>
        <w:t>2.2</w:t>
      </w:r>
      <w:r>
        <w:tab/>
        <w:t xml:space="preserve">Parent Work Item </w:t>
      </w:r>
    </w:p>
    <w:tbl>
      <w:tblPr>
        <w:tblStyle w:val="a1"/>
        <w:tblW w:w="960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B34E2">
        <w:tc>
          <w:tcPr>
            <w:tcW w:w="9606" w:type="dxa"/>
            <w:gridSpan w:val="2"/>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P</w:t>
            </w:r>
            <w:r>
              <w:rPr>
                <w:rFonts w:ascii="Arial" w:eastAsia="Arial" w:hAnsi="Arial" w:cs="Arial"/>
                <w:b/>
                <w:color w:val="000000"/>
                <w:sz w:val="18"/>
                <w:szCs w:val="18"/>
              </w:rPr>
              <w:t xml:space="preserve">arent Work Items </w:t>
            </w:r>
          </w:p>
        </w:tc>
      </w:tr>
      <w:tr w:rsidR="004B34E2">
        <w:tc>
          <w:tcPr>
            <w:tcW w:w="1101"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8505"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w:t>
            </w:r>
          </w:p>
        </w:tc>
      </w:tr>
      <w:tr w:rsidR="004B34E2">
        <w:tc>
          <w:tcPr>
            <w:tcW w:w="1101"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c>
          <w:tcPr>
            <w:tcW w:w="8505" w:type="dxa"/>
          </w:tcPr>
          <w:p w:rsidR="004B34E2" w:rsidRDefault="004B34E2">
            <w:pPr>
              <w:pBdr>
                <w:top w:val="nil"/>
                <w:left w:val="nil"/>
                <w:bottom w:val="nil"/>
                <w:right w:val="nil"/>
                <w:between w:val="nil"/>
              </w:pBdr>
              <w:rPr>
                <w:color w:val="000000"/>
                <w:sz w:val="24"/>
                <w:szCs w:val="24"/>
              </w:rPr>
            </w:pPr>
          </w:p>
        </w:tc>
      </w:tr>
    </w:tbl>
    <w:p w:rsidR="004B34E2" w:rsidRDefault="004B34E2">
      <w:pPr>
        <w:ind w:right="-99"/>
      </w:pPr>
    </w:p>
    <w:p w:rsidR="004B34E2" w:rsidRDefault="004A11A0">
      <w:pPr>
        <w:pStyle w:val="Heading3"/>
      </w:pPr>
      <w:r>
        <w:t>2.3</w:t>
      </w:r>
      <w:r>
        <w:tab/>
        <w:t>Other related Work Items and dependencies</w:t>
      </w:r>
    </w:p>
    <w:p w:rsidR="004B34E2" w:rsidRDefault="004B34E2"/>
    <w:tbl>
      <w:tblPr>
        <w:tblStyle w:val="a2"/>
        <w:tblW w:w="960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B34E2">
        <w:tc>
          <w:tcPr>
            <w:tcW w:w="9606" w:type="dxa"/>
            <w:gridSpan w:val="3"/>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lastRenderedPageBreak/>
              <w:t>Other related Work Items (if any)</w:t>
            </w:r>
          </w:p>
        </w:tc>
      </w:tr>
      <w:tr w:rsidR="004B34E2">
        <w:tc>
          <w:tcPr>
            <w:tcW w:w="1101"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3969"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w:t>
            </w:r>
          </w:p>
        </w:tc>
        <w:tc>
          <w:tcPr>
            <w:tcW w:w="4536" w:type="dxa"/>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4B34E2">
        <w:tc>
          <w:tcPr>
            <w:tcW w:w="1101" w:type="dxa"/>
          </w:tcPr>
          <w:p w:rsidR="004B34E2" w:rsidRDefault="004A11A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sz w:val="18"/>
                <w:szCs w:val="18"/>
              </w:rPr>
              <w:t>xx</w:t>
            </w:r>
          </w:p>
        </w:tc>
        <w:tc>
          <w:tcPr>
            <w:tcW w:w="3969" w:type="dxa"/>
          </w:tcPr>
          <w:p w:rsidR="004B34E2" w:rsidRDefault="004A11A0">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sz w:val="18"/>
                <w:szCs w:val="18"/>
              </w:rPr>
              <w:t>xx</w:t>
            </w:r>
          </w:p>
        </w:tc>
        <w:tc>
          <w:tcPr>
            <w:tcW w:w="4536" w:type="dxa"/>
          </w:tcPr>
          <w:p w:rsidR="004B34E2" w:rsidRDefault="004A11A0">
            <w:pPr>
              <w:pBdr>
                <w:top w:val="nil"/>
                <w:left w:val="nil"/>
                <w:bottom w:val="nil"/>
                <w:right w:val="nil"/>
                <w:between w:val="nil"/>
              </w:pBdr>
              <w:rPr>
                <w:color w:val="000000"/>
                <w:sz w:val="24"/>
                <w:szCs w:val="24"/>
              </w:rPr>
            </w:pPr>
            <w:proofErr w:type="spellStart"/>
            <w:r>
              <w:rPr>
                <w:sz w:val="24"/>
                <w:szCs w:val="24"/>
              </w:rPr>
              <w:t>xxxx</w:t>
            </w:r>
            <w:proofErr w:type="spellEnd"/>
          </w:p>
        </w:tc>
      </w:tr>
    </w:tbl>
    <w:p w:rsidR="004B34E2" w:rsidRDefault="004A11A0">
      <w:pPr>
        <w:spacing w:after="0"/>
        <w:ind w:right="-96"/>
      </w:pPr>
      <w:r>
        <w:rPr>
          <w:b/>
        </w:rPr>
        <w:t>Dependency on non-3GPP (draft) specification</w:t>
      </w:r>
      <w:r>
        <w:t xml:space="preserve">: </w:t>
      </w:r>
    </w:p>
    <w:p w:rsidR="004B34E2" w:rsidRDefault="004A11A0">
      <w:pPr>
        <w:pStyle w:val="Heading2"/>
      </w:pPr>
      <w:r>
        <w:t>3</w:t>
      </w:r>
      <w:r>
        <w:tab/>
        <w:t>Justification</w:t>
      </w:r>
    </w:p>
    <w:p w:rsidR="004B34E2" w:rsidRDefault="004A11A0">
      <w:pPr>
        <w:spacing w:after="0"/>
        <w:rPr>
          <w:rFonts w:ascii="Arial" w:eastAsia="Arial" w:hAnsi="Arial" w:cs="Arial"/>
        </w:rPr>
      </w:pPr>
      <w:r>
        <w:rPr>
          <w:rFonts w:ascii="Arial" w:eastAsia="Arial" w:hAnsi="Arial" w:cs="Arial"/>
        </w:rPr>
        <w:t xml:space="preserve">In a non-emergency UE registration (attach) procedure, the current security algorithm decision made as part of the Security Mode negotiation is one-sided. The current procedure prevents the UE </w:t>
      </w:r>
      <w:r>
        <w:rPr>
          <w:rFonts w:ascii="Arial" w:eastAsia="Arial" w:hAnsi="Arial" w:cs="Arial"/>
        </w:rPr>
        <w:t xml:space="preserve">from rejecting, for example, an insecure algorithm or an algorithm known to be compromised, which erodes user privacy. </w:t>
      </w:r>
    </w:p>
    <w:p w:rsidR="004B34E2" w:rsidRDefault="004B34E2">
      <w:pPr>
        <w:spacing w:after="0"/>
        <w:rPr>
          <w:rFonts w:ascii="Arial" w:eastAsia="Arial" w:hAnsi="Arial" w:cs="Arial"/>
        </w:rPr>
      </w:pPr>
    </w:p>
    <w:p w:rsidR="004B34E2" w:rsidRDefault="004A11A0">
      <w:pPr>
        <w:spacing w:after="0"/>
        <w:rPr>
          <w:rFonts w:ascii="Arial" w:eastAsia="Arial" w:hAnsi="Arial" w:cs="Arial"/>
        </w:rPr>
      </w:pPr>
      <w:r>
        <w:rPr>
          <w:rFonts w:ascii="Arial" w:eastAsia="Arial" w:hAnsi="Arial" w:cs="Arial"/>
        </w:rPr>
        <w:t>The current specification requires both the UE and the network to rank their supported algorithms by priority. TS 33.501 clause 6.7.1.1 states that the AMF shall select the NAS algorithm which has the highest priority. When the network selects a null algor</w:t>
      </w:r>
      <w:r>
        <w:rPr>
          <w:rFonts w:ascii="Arial" w:eastAsia="Arial" w:hAnsi="Arial" w:cs="Arial"/>
        </w:rPr>
        <w:t>ithm or an algorithm known to be compromised, the network is assigning higher priority to algorithms that are provably weaker than the alternatives. In non-emergency UE attach procedures, if the network selects a null or known to be broken algorithm, an at</w:t>
      </w:r>
      <w:r>
        <w:rPr>
          <w:rFonts w:ascii="Arial" w:eastAsia="Arial" w:hAnsi="Arial" w:cs="Arial"/>
        </w:rPr>
        <w:t>tacker could exploit this to compromise UE privacy by accessing user communications.</w:t>
      </w:r>
    </w:p>
    <w:p w:rsidR="004B34E2" w:rsidRDefault="004B34E2">
      <w:pPr>
        <w:spacing w:after="0"/>
        <w:rPr>
          <w:rFonts w:ascii="Arial" w:eastAsia="Arial" w:hAnsi="Arial" w:cs="Arial"/>
        </w:rPr>
      </w:pPr>
    </w:p>
    <w:p w:rsidR="004B34E2" w:rsidRDefault="004A11A0">
      <w:pPr>
        <w:spacing w:after="0"/>
        <w:rPr>
          <w:rFonts w:ascii="Arial" w:eastAsia="Arial" w:hAnsi="Arial" w:cs="Arial"/>
        </w:rPr>
      </w:pPr>
      <w:r>
        <w:rPr>
          <w:rFonts w:ascii="Arial" w:eastAsia="Arial" w:hAnsi="Arial" w:cs="Arial"/>
        </w:rPr>
        <w:t>Best security practices recommend a mutual agreement on algorithms between parties, but this is not fully implemented in current UE and network agreements.</w:t>
      </w:r>
    </w:p>
    <w:p w:rsidR="004B34E2" w:rsidRDefault="004B34E2">
      <w:pPr>
        <w:spacing w:after="0"/>
        <w:rPr>
          <w:rFonts w:ascii="Arial" w:eastAsia="Arial" w:hAnsi="Arial" w:cs="Arial"/>
        </w:rPr>
      </w:pPr>
    </w:p>
    <w:p w:rsidR="004B34E2" w:rsidRDefault="004B34E2">
      <w:pPr>
        <w:rPr>
          <w:i/>
        </w:rPr>
      </w:pPr>
    </w:p>
    <w:p w:rsidR="004B34E2" w:rsidRDefault="004A11A0">
      <w:pPr>
        <w:pStyle w:val="Heading2"/>
      </w:pPr>
      <w:r>
        <w:t>4</w:t>
      </w:r>
      <w:r>
        <w:tab/>
        <w:t>Objective</w:t>
      </w:r>
    </w:p>
    <w:p w:rsidR="004B34E2" w:rsidRDefault="004A11A0">
      <w:pPr>
        <w:numPr>
          <w:ilvl w:val="0"/>
          <w:numId w:val="1"/>
        </w:numPr>
        <w:spacing w:after="0"/>
        <w:rPr>
          <w:rFonts w:ascii="Arial" w:eastAsia="Arial" w:hAnsi="Arial" w:cs="Arial"/>
        </w:rPr>
      </w:pPr>
      <w:r>
        <w:rPr>
          <w:rFonts w:ascii="Arial" w:eastAsia="Arial" w:hAnsi="Arial" w:cs="Arial"/>
        </w:rPr>
        <w:t>Enhance the NAS security mode command procedure such that UE may take an action to reject the security mode if the network selects an insecure security algorithm, a null security algorithm, or if the algorithm is known to be vulnerable.</w:t>
      </w:r>
    </w:p>
    <w:p w:rsidR="004B34E2" w:rsidRDefault="004B34E2">
      <w:pPr>
        <w:rPr>
          <w:i/>
        </w:rPr>
      </w:pPr>
    </w:p>
    <w:p w:rsidR="004B34E2" w:rsidRDefault="004A11A0">
      <w:pPr>
        <w:pStyle w:val="Heading2"/>
      </w:pPr>
      <w:r>
        <w:t>5</w:t>
      </w:r>
      <w:r>
        <w:tab/>
        <w:t xml:space="preserve">Expected Output </w:t>
      </w:r>
      <w:r>
        <w:t>and Time scale</w:t>
      </w:r>
    </w:p>
    <w:tbl>
      <w:tblPr>
        <w:tblStyle w:val="a3"/>
        <w:tblW w:w="941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86"/>
      </w:tblGrid>
      <w:tr w:rsidR="004B34E2">
        <w:tc>
          <w:tcPr>
            <w:tcW w:w="9413" w:type="dxa"/>
            <w:gridSpan w:val="6"/>
            <w:shd w:val="clear" w:color="auto" w:fill="D9D9D9"/>
            <w:tcMar>
              <w:left w:w="57" w:type="dxa"/>
              <w:right w:w="57" w:type="dxa"/>
            </w:tcMar>
            <w:vAlign w:val="center"/>
          </w:tcPr>
          <w:p w:rsidR="004B34E2" w:rsidRDefault="004A11A0">
            <w:pPr>
              <w:keepNext/>
              <w:keepLines/>
              <w:pBdr>
                <w:top w:val="nil"/>
                <w:left w:val="nil"/>
                <w:bottom w:val="nil"/>
                <w:right w:val="nil"/>
                <w:between w:val="nil"/>
              </w:pBdr>
              <w:spacing w:after="0"/>
              <w:ind w:right="-99"/>
              <w:jc w:val="center"/>
              <w:rPr>
                <w:rFonts w:ascii="Arial" w:eastAsia="Arial" w:hAnsi="Arial" w:cs="Arial"/>
                <w:color w:val="000000"/>
                <w:sz w:val="16"/>
                <w:szCs w:val="16"/>
              </w:rPr>
            </w:pPr>
            <w:r>
              <w:rPr>
                <w:rFonts w:ascii="Arial" w:eastAsia="Arial" w:hAnsi="Arial" w:cs="Arial"/>
                <w:b/>
                <w:color w:val="000000"/>
                <w:sz w:val="16"/>
                <w:szCs w:val="16"/>
              </w:rPr>
              <w:t xml:space="preserve">New specifications </w:t>
            </w:r>
            <w:r>
              <w:rPr>
                <w:rFonts w:ascii="Arial" w:eastAsia="Arial" w:hAnsi="Arial" w:cs="Arial"/>
                <w:i/>
                <w:color w:val="000000"/>
                <w:sz w:val="16"/>
                <w:szCs w:val="16"/>
              </w:rPr>
              <w:t>{One line per specification. Create/delete lines as needed}</w:t>
            </w:r>
          </w:p>
        </w:tc>
      </w:tr>
      <w:tr w:rsidR="004B34E2">
        <w:tc>
          <w:tcPr>
            <w:tcW w:w="1617" w:type="dxa"/>
            <w:shd w:val="clear" w:color="auto" w:fill="D9D9D9"/>
            <w:tcMar>
              <w:left w:w="57" w:type="dxa"/>
              <w:right w:w="57" w:type="dxa"/>
            </w:tcMar>
            <w:vAlign w:val="center"/>
          </w:tcPr>
          <w:p w:rsidR="004B34E2" w:rsidRDefault="004A11A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4B34E2" w:rsidRDefault="004A11A0">
            <w:pPr>
              <w:spacing w:after="0"/>
              <w:ind w:right="-99"/>
            </w:pPr>
            <w:r>
              <w:rPr>
                <w:sz w:val="16"/>
                <w:szCs w:val="16"/>
              </w:rPr>
              <w:t>TS/TR number</w:t>
            </w:r>
          </w:p>
        </w:tc>
        <w:tc>
          <w:tcPr>
            <w:tcW w:w="2409"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Title</w:t>
            </w:r>
          </w:p>
        </w:tc>
        <w:tc>
          <w:tcPr>
            <w:tcW w:w="993"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 xml:space="preserve">For info </w:t>
            </w:r>
            <w:r>
              <w:rPr>
                <w:rFonts w:ascii="Arial" w:eastAsia="Arial" w:hAnsi="Arial" w:cs="Arial"/>
                <w:sz w:val="16"/>
                <w:szCs w:val="16"/>
              </w:rPr>
              <w:br/>
              <w:t xml:space="preserve">at TSG# </w:t>
            </w:r>
          </w:p>
        </w:tc>
        <w:tc>
          <w:tcPr>
            <w:tcW w:w="1074"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For approval at TSG#</w:t>
            </w:r>
          </w:p>
        </w:tc>
        <w:tc>
          <w:tcPr>
            <w:tcW w:w="2186" w:type="dxa"/>
            <w:shd w:val="clear" w:color="auto" w:fill="D9D9D9"/>
            <w:tcMar>
              <w:left w:w="57" w:type="dxa"/>
              <w:right w:w="57" w:type="dxa"/>
            </w:tcMar>
            <w:vAlign w:val="center"/>
          </w:tcPr>
          <w:p w:rsidR="004B34E2" w:rsidRDefault="004A11A0">
            <w:pPr>
              <w:spacing w:after="0"/>
              <w:ind w:right="-99"/>
              <w:rPr>
                <w:rFonts w:ascii="Arial" w:eastAsia="Arial" w:hAnsi="Arial" w:cs="Arial"/>
                <w:sz w:val="16"/>
                <w:szCs w:val="16"/>
              </w:rPr>
            </w:pPr>
            <w:r>
              <w:rPr>
                <w:rFonts w:ascii="Arial" w:eastAsia="Arial" w:hAnsi="Arial" w:cs="Arial"/>
                <w:sz w:val="16"/>
                <w:szCs w:val="16"/>
              </w:rPr>
              <w:t>Remarks</w:t>
            </w:r>
          </w:p>
        </w:tc>
      </w:tr>
      <w:tr w:rsidR="004B34E2">
        <w:tc>
          <w:tcPr>
            <w:tcW w:w="1617" w:type="dxa"/>
          </w:tcPr>
          <w:p w:rsidR="004B34E2" w:rsidRDefault="004B34E2">
            <w:pPr>
              <w:spacing w:after="0"/>
            </w:pPr>
          </w:p>
        </w:tc>
        <w:tc>
          <w:tcPr>
            <w:tcW w:w="1134" w:type="dxa"/>
          </w:tcPr>
          <w:p w:rsidR="004B34E2" w:rsidRDefault="004B34E2">
            <w:pPr>
              <w:spacing w:after="0"/>
            </w:pPr>
          </w:p>
        </w:tc>
        <w:tc>
          <w:tcPr>
            <w:tcW w:w="2409" w:type="dxa"/>
          </w:tcPr>
          <w:p w:rsidR="004B34E2" w:rsidRDefault="004B34E2">
            <w:pPr>
              <w:spacing w:after="0"/>
            </w:pPr>
          </w:p>
        </w:tc>
        <w:tc>
          <w:tcPr>
            <w:tcW w:w="993" w:type="dxa"/>
          </w:tcPr>
          <w:p w:rsidR="004B34E2" w:rsidRDefault="004B34E2">
            <w:pPr>
              <w:spacing w:after="0"/>
            </w:pPr>
          </w:p>
        </w:tc>
        <w:tc>
          <w:tcPr>
            <w:tcW w:w="1074" w:type="dxa"/>
          </w:tcPr>
          <w:p w:rsidR="004B34E2" w:rsidRDefault="004B34E2">
            <w:pPr>
              <w:spacing w:after="0"/>
            </w:pPr>
          </w:p>
        </w:tc>
        <w:tc>
          <w:tcPr>
            <w:tcW w:w="2186" w:type="dxa"/>
          </w:tcPr>
          <w:p w:rsidR="004B34E2" w:rsidRDefault="004B34E2">
            <w:pPr>
              <w:spacing w:after="0"/>
            </w:pPr>
          </w:p>
        </w:tc>
      </w:tr>
    </w:tbl>
    <w:p w:rsidR="004B34E2" w:rsidRDefault="004B34E2">
      <w:pPr>
        <w:keepLines/>
        <w:pBdr>
          <w:top w:val="nil"/>
          <w:left w:val="nil"/>
          <w:bottom w:val="nil"/>
          <w:right w:val="nil"/>
          <w:between w:val="nil"/>
        </w:pBdr>
        <w:ind w:left="1135" w:hanging="851"/>
        <w:rPr>
          <w:color w:val="000000"/>
        </w:rPr>
      </w:pPr>
    </w:p>
    <w:tbl>
      <w:tblPr>
        <w:tblStyle w:val="a4"/>
        <w:tblW w:w="9307" w:type="dxa"/>
        <w:jc w:val="center"/>
        <w:tblLayout w:type="fixed"/>
        <w:tblLook w:val="0000" w:firstRow="0" w:lastRow="0" w:firstColumn="0" w:lastColumn="0" w:noHBand="0" w:noVBand="0"/>
      </w:tblPr>
      <w:tblGrid>
        <w:gridCol w:w="1445"/>
        <w:gridCol w:w="4344"/>
        <w:gridCol w:w="1417"/>
        <w:gridCol w:w="2101"/>
      </w:tblGrid>
      <w:tr w:rsidR="004B34E2">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jc w:val="center"/>
              <w:rPr>
                <w:rFonts w:ascii="Arial" w:eastAsia="Arial" w:hAnsi="Arial" w:cs="Arial"/>
                <w:color w:val="000000"/>
                <w:sz w:val="16"/>
                <w:szCs w:val="16"/>
              </w:rPr>
            </w:pPr>
            <w:r>
              <w:rPr>
                <w:rFonts w:ascii="Arial" w:eastAsia="Arial" w:hAnsi="Arial" w:cs="Arial"/>
                <w:b/>
                <w:color w:val="000000"/>
                <w:sz w:val="16"/>
                <w:szCs w:val="16"/>
              </w:rPr>
              <w:t xml:space="preserve">Impacted existing TS/TR </w:t>
            </w:r>
            <w:r>
              <w:rPr>
                <w:rFonts w:ascii="Arial" w:eastAsia="Arial" w:hAnsi="Arial" w:cs="Arial"/>
                <w:i/>
                <w:color w:val="000000"/>
                <w:sz w:val="16"/>
                <w:szCs w:val="16"/>
              </w:rPr>
              <w:t>{One line per specification. Create/delete lines as needed}</w:t>
            </w:r>
          </w:p>
        </w:tc>
      </w:tr>
      <w:tr w:rsidR="004B34E2">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spacing w:after="0"/>
              <w:ind w:right="-99"/>
              <w:rPr>
                <w:sz w:val="16"/>
                <w:szCs w:val="16"/>
              </w:rPr>
            </w:pPr>
            <w:r>
              <w:rPr>
                <w:sz w:val="16"/>
                <w:szCs w:val="16"/>
              </w:rPr>
              <w:t>D</w:t>
            </w:r>
            <w:r>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rsidR="004B34E2" w:rsidRDefault="004A11A0">
            <w:pPr>
              <w:keepNext/>
              <w:keepLines/>
              <w:pBdr>
                <w:top w:val="nil"/>
                <w:left w:val="nil"/>
                <w:bottom w:val="nil"/>
                <w:right w:val="nil"/>
                <w:between w:val="nil"/>
              </w:pBdr>
              <w:spacing w:after="0"/>
              <w:ind w:right="-99"/>
              <w:rPr>
                <w:rFonts w:ascii="Arial" w:eastAsia="Arial" w:hAnsi="Arial" w:cs="Arial"/>
                <w:color w:val="000000"/>
                <w:sz w:val="16"/>
                <w:szCs w:val="16"/>
              </w:rPr>
            </w:pPr>
            <w:r>
              <w:rPr>
                <w:rFonts w:ascii="Arial" w:eastAsia="Arial" w:hAnsi="Arial" w:cs="Arial"/>
                <w:color w:val="000000"/>
                <w:sz w:val="16"/>
                <w:szCs w:val="16"/>
              </w:rPr>
              <w:t>Remarks</w:t>
            </w:r>
          </w:p>
        </w:tc>
      </w:tr>
      <w:tr w:rsidR="004B34E2">
        <w:trPr>
          <w:cantSplit/>
          <w:jc w:val="center"/>
        </w:trPr>
        <w:tc>
          <w:tcPr>
            <w:tcW w:w="1445"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TS 33.501</w:t>
            </w:r>
          </w:p>
        </w:tc>
        <w:tc>
          <w:tcPr>
            <w:tcW w:w="4344"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 xml:space="preserve">Enhance NAS SMC procedure to reject any insecure or vulnerable security algorithm proposed by the network so as to protect the privacy and security of the UE (user).  </w:t>
            </w:r>
          </w:p>
        </w:tc>
        <w:tc>
          <w:tcPr>
            <w:tcW w:w="1417" w:type="dxa"/>
            <w:tcBorders>
              <w:top w:val="single" w:sz="4" w:space="0" w:color="000000"/>
              <w:left w:val="single" w:sz="4" w:space="0" w:color="000000"/>
              <w:bottom w:val="single" w:sz="4" w:space="0" w:color="000000"/>
              <w:right w:val="single" w:sz="4" w:space="0" w:color="000000"/>
            </w:tcBorders>
          </w:tcPr>
          <w:p w:rsidR="004B34E2" w:rsidRDefault="004A11A0">
            <w:pPr>
              <w:spacing w:after="0"/>
            </w:pPr>
            <w:r>
              <w:t xml:space="preserve">Dec 2024 </w:t>
            </w:r>
          </w:p>
        </w:tc>
        <w:tc>
          <w:tcPr>
            <w:tcW w:w="2101" w:type="dxa"/>
            <w:tcBorders>
              <w:top w:val="single" w:sz="4" w:space="0" w:color="000000"/>
              <w:left w:val="single" w:sz="4" w:space="0" w:color="000000"/>
              <w:bottom w:val="single" w:sz="4" w:space="0" w:color="000000"/>
              <w:right w:val="single" w:sz="4" w:space="0" w:color="000000"/>
            </w:tcBorders>
          </w:tcPr>
          <w:p w:rsidR="004B34E2" w:rsidRDefault="004B34E2">
            <w:pPr>
              <w:spacing w:after="0"/>
            </w:pPr>
          </w:p>
          <w:p w:rsidR="004B34E2" w:rsidRDefault="004B34E2">
            <w:pPr>
              <w:spacing w:after="0"/>
            </w:pPr>
          </w:p>
          <w:p w:rsidR="004B34E2" w:rsidRDefault="004B34E2">
            <w:pPr>
              <w:spacing w:after="0"/>
            </w:pPr>
          </w:p>
          <w:p w:rsidR="004B34E2" w:rsidRDefault="004B34E2">
            <w:pPr>
              <w:spacing w:after="0"/>
            </w:pPr>
          </w:p>
        </w:tc>
      </w:tr>
    </w:tbl>
    <w:p w:rsidR="004B34E2" w:rsidRDefault="004B34E2">
      <w:pPr>
        <w:pStyle w:val="Heading2"/>
        <w:spacing w:before="0" w:after="0"/>
      </w:pPr>
    </w:p>
    <w:p w:rsidR="004B34E2" w:rsidRDefault="004A11A0">
      <w:pPr>
        <w:pStyle w:val="Heading2"/>
        <w:spacing w:before="0" w:after="0"/>
      </w:pPr>
      <w:r>
        <w:t>6 Work item Rapporteur(s)</w:t>
      </w:r>
    </w:p>
    <w:p w:rsidR="004A11A0" w:rsidRDefault="004A11A0">
      <w:pPr>
        <w:pStyle w:val="Heading2"/>
        <w:spacing w:before="0" w:after="0"/>
      </w:pPr>
      <w:bookmarkStart w:id="1" w:name="_30j0zll" w:colFirst="0" w:colLast="0"/>
      <w:bookmarkEnd w:id="1"/>
    </w:p>
    <w:p w:rsidR="004B34E2" w:rsidRDefault="004A11A0">
      <w:pPr>
        <w:pStyle w:val="Heading2"/>
        <w:spacing w:before="0" w:after="0"/>
      </w:pPr>
      <w:r>
        <w:t>7</w:t>
      </w:r>
      <w:r>
        <w:tab/>
        <w:t>Work item leadership</w:t>
      </w:r>
    </w:p>
    <w:p w:rsidR="004B34E2" w:rsidRDefault="004A11A0">
      <w:pPr>
        <w:ind w:right="-99"/>
        <w:rPr>
          <w:sz w:val="22"/>
          <w:szCs w:val="22"/>
        </w:rPr>
      </w:pPr>
      <w:r>
        <w:rPr>
          <w:sz w:val="22"/>
          <w:szCs w:val="22"/>
        </w:rPr>
        <w:t>SA3</w:t>
      </w:r>
    </w:p>
    <w:p w:rsidR="004B34E2" w:rsidRDefault="004B34E2">
      <w:pPr>
        <w:spacing w:after="0"/>
        <w:ind w:left="1134" w:right="-96"/>
      </w:pPr>
    </w:p>
    <w:p w:rsidR="004B34E2" w:rsidRDefault="004A11A0">
      <w:pPr>
        <w:pStyle w:val="Heading2"/>
        <w:spacing w:before="0" w:after="0"/>
      </w:pPr>
      <w:r>
        <w:t>8</w:t>
      </w:r>
      <w:r>
        <w:tab/>
        <w:t>Aspects that involve other WGs</w:t>
      </w:r>
    </w:p>
    <w:p w:rsidR="004B34E2" w:rsidRDefault="004B34E2">
      <w:pPr>
        <w:rPr>
          <w:i/>
        </w:rPr>
      </w:pPr>
    </w:p>
    <w:p w:rsidR="004B34E2" w:rsidRDefault="004A11A0">
      <w:pPr>
        <w:rPr>
          <w:i/>
        </w:rPr>
      </w:pPr>
      <w:r>
        <w:rPr>
          <w:i/>
        </w:rPr>
        <w:t xml:space="preserve">None. </w:t>
      </w:r>
    </w:p>
    <w:p w:rsidR="004B34E2" w:rsidRDefault="004B34E2"/>
    <w:p w:rsidR="004B34E2" w:rsidRDefault="004A11A0">
      <w:pPr>
        <w:pStyle w:val="Heading2"/>
        <w:spacing w:before="0"/>
      </w:pPr>
      <w:r>
        <w:t>9</w:t>
      </w:r>
      <w:r>
        <w:tab/>
        <w:t>Supporting Individual Members</w:t>
      </w:r>
    </w:p>
    <w:p w:rsidR="004B34E2" w:rsidRDefault="004B34E2">
      <w:pPr>
        <w:ind w:right="-99"/>
      </w:pPr>
      <w:bookmarkStart w:id="2" w:name="_GoBack"/>
      <w:bookmarkEnd w:id="2"/>
    </w:p>
    <w:tbl>
      <w:tblPr>
        <w:tblStyle w:val="a5"/>
        <w:tblW w:w="19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tblGrid>
      <w:tr w:rsidR="004B34E2">
        <w:trPr>
          <w:trHeight w:val="221"/>
          <w:jc w:val="center"/>
        </w:trPr>
        <w:tc>
          <w:tcPr>
            <w:tcW w:w="1946" w:type="dxa"/>
            <w:shd w:val="clear" w:color="auto" w:fill="E0E0E0"/>
          </w:tcPr>
          <w:p w:rsidR="004B34E2" w:rsidRDefault="004A11A0">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Supporting IM name</w:t>
            </w:r>
          </w:p>
        </w:tc>
      </w:tr>
      <w:tr w:rsidR="004B34E2">
        <w:trPr>
          <w:jc w:val="center"/>
        </w:trPr>
        <w:tc>
          <w:tcPr>
            <w:tcW w:w="1946" w:type="dxa"/>
            <w:shd w:val="clear" w:color="auto" w:fill="auto"/>
          </w:tcPr>
          <w:p w:rsidR="004B34E2" w:rsidRDefault="004A11A0">
            <w:pPr>
              <w:keepNext/>
              <w:keepLines/>
              <w:spacing w:after="0"/>
              <w:rPr>
                <w:rFonts w:ascii="Arial" w:eastAsia="Arial" w:hAnsi="Arial" w:cs="Arial"/>
                <w:sz w:val="18"/>
                <w:szCs w:val="18"/>
              </w:rPr>
            </w:pPr>
            <w:r>
              <w:rPr>
                <w:rFonts w:ascii="Arial" w:eastAsia="Arial" w:hAnsi="Arial" w:cs="Arial"/>
                <w:sz w:val="18"/>
                <w:szCs w:val="18"/>
              </w:rPr>
              <w:t>Google</w:t>
            </w:r>
          </w:p>
        </w:tc>
      </w:tr>
      <w:tr w:rsidR="004B34E2">
        <w:trPr>
          <w:jc w:val="center"/>
        </w:trPr>
        <w:tc>
          <w:tcPr>
            <w:tcW w:w="1946" w:type="dxa"/>
            <w:shd w:val="clear" w:color="auto" w:fill="auto"/>
          </w:tcPr>
          <w:p w:rsidR="004B34E2" w:rsidRDefault="004B34E2">
            <w:pPr>
              <w:keepNext/>
              <w:keepLines/>
              <w:spacing w:after="0"/>
              <w:rPr>
                <w:rFonts w:ascii="Arial" w:eastAsia="Arial" w:hAnsi="Arial" w:cs="Arial"/>
                <w:sz w:val="18"/>
                <w:szCs w:val="18"/>
              </w:rPr>
            </w:pPr>
          </w:p>
        </w:tc>
      </w:tr>
      <w:tr w:rsidR="004B34E2">
        <w:trPr>
          <w:jc w:val="center"/>
        </w:trPr>
        <w:tc>
          <w:tcPr>
            <w:tcW w:w="1946" w:type="dxa"/>
            <w:shd w:val="clear" w:color="auto" w:fill="auto"/>
          </w:tcPr>
          <w:p w:rsidR="004B34E2" w:rsidRDefault="004B34E2">
            <w:pPr>
              <w:keepNext/>
              <w:keepLines/>
              <w:spacing w:after="0"/>
              <w:rPr>
                <w:rFonts w:ascii="Arial" w:eastAsia="Arial" w:hAnsi="Arial" w:cs="Arial"/>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r w:rsidR="004B34E2">
        <w:trPr>
          <w:jc w:val="center"/>
        </w:trPr>
        <w:tc>
          <w:tcPr>
            <w:tcW w:w="1946" w:type="dxa"/>
          </w:tcPr>
          <w:p w:rsidR="004B34E2" w:rsidRDefault="004B34E2">
            <w:pPr>
              <w:keepNext/>
              <w:keepLines/>
              <w:pBdr>
                <w:top w:val="nil"/>
                <w:left w:val="nil"/>
                <w:bottom w:val="nil"/>
                <w:right w:val="nil"/>
                <w:between w:val="nil"/>
              </w:pBdr>
              <w:spacing w:after="0"/>
              <w:rPr>
                <w:rFonts w:ascii="Arial" w:eastAsia="Arial" w:hAnsi="Arial" w:cs="Arial"/>
                <w:color w:val="000000"/>
                <w:sz w:val="18"/>
                <w:szCs w:val="18"/>
              </w:rPr>
            </w:pPr>
          </w:p>
        </w:tc>
      </w:tr>
    </w:tbl>
    <w:p w:rsidR="004B34E2" w:rsidRDefault="004B34E2"/>
    <w:p w:rsidR="004B34E2" w:rsidRDefault="004B34E2"/>
    <w:sectPr w:rsidR="004B34E2">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F5DE8"/>
    <w:multiLevelType w:val="multilevel"/>
    <w:tmpl w:val="D52214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4E2"/>
    <w:rsid w:val="004A11A0"/>
    <w:rsid w:val="004B3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01FF6"/>
  <w15:docId w15:val="{11AAD058-7E55-4E01-A55E-D673CAC4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28" w:type="dxa"/>
        <w:right w:w="28" w:type="dxa"/>
      </w:tblCellMar>
    </w:tblPr>
  </w:style>
  <w:style w:type="table" w:customStyle="1" w:styleId="a5">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A11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1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496</Words>
  <Characters>2828</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2</cp:revision>
  <dcterms:created xsi:type="dcterms:W3CDTF">2024-08-12T13:47:00Z</dcterms:created>
  <dcterms:modified xsi:type="dcterms:W3CDTF">2024-08-12T13:48:00Z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lpwstr>-779042809</vt:lpwstr>
  </property>
  <property fmtid="{D5CDD505-2E9C-101B-9397-08002B2CF9AE}" pid="4" name="_NewReviewCycle">
    <vt:lpwstr>_NewReviewCycle</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lpwstr>-1385681052</vt:lpwstr>
  </property>
  <property fmtid="{D5CDD505-2E9C-101B-9397-08002B2CF9AE}" pid="9" name="_ReviewingToolsShownOnce">
    <vt:lpwstr>_ReviewingToolsShownOnce</vt:lpwstr>
  </property>
</Properties>
</file>